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Муниципальное казенное учреждение «Управление образованием» Туринского городского округа</w:t>
      </w: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Аналитическая справка</w:t>
      </w: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«Кадровое обеспечение муниципальной системы образования Тури</w:t>
      </w:r>
      <w:r w:rsidR="00BB30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нского городского округа за 2022-2023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учебный год»</w:t>
      </w: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Рассмотрено на аппаратном совещании при начальнике «МКУ Управл</w:t>
      </w:r>
      <w:r w:rsidR="00BB30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ение образованием» от 06.06.2023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№ 14</w:t>
      </w:r>
    </w:p>
    <w:p w:rsidR="00CC56A2" w:rsidRPr="00CC56A2" w:rsidRDefault="00CC56A2" w:rsidP="00CC56A2">
      <w:pPr>
        <w:widowControl w:val="0"/>
        <w:spacing w:after="0" w:line="324" w:lineRule="exact"/>
        <w:ind w:right="8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CC56A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КАДРОВОЕ ОБЕСПЕЧЕНИЕ МУНИЦИПАЛЬНОЙ СИСТЕМЫ</w:t>
      </w:r>
    </w:p>
    <w:p w:rsidR="00CC56A2" w:rsidRPr="00CC56A2" w:rsidRDefault="00CC56A2" w:rsidP="00CC56A2">
      <w:pPr>
        <w:widowControl w:val="0"/>
        <w:spacing w:after="0" w:line="324" w:lineRule="exact"/>
        <w:ind w:right="8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CC56A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ОБРАЗОВАНИЯ Туринского городского округа 2021-2022 учебный год</w:t>
      </w:r>
    </w:p>
    <w:p w:rsidR="00CC56A2" w:rsidRPr="00CC56A2" w:rsidRDefault="00CC56A2" w:rsidP="00CC56A2">
      <w:pPr>
        <w:widowControl w:val="0"/>
        <w:numPr>
          <w:ilvl w:val="0"/>
          <w:numId w:val="1"/>
        </w:numPr>
        <w:tabs>
          <w:tab w:val="left" w:pos="594"/>
        </w:tabs>
        <w:spacing w:after="0" w:line="240" w:lineRule="exact"/>
        <w:ind w:left="240"/>
        <w:jc w:val="both"/>
        <w:outlineLvl w:val="1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2"/>
      <w:r w:rsidRPr="00CC56A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Кадровое обеспечение муниципальной системы образования</w:t>
      </w:r>
      <w:bookmarkEnd w:id="0"/>
    </w:p>
    <w:p w:rsidR="00CC56A2" w:rsidRDefault="00CC56A2" w:rsidP="00CC56A2">
      <w:pPr>
        <w:framePr w:wrap="none" w:vAnchor="page" w:hAnchor="page" w:x="3391" w:y="2716"/>
        <w:spacing w:line="200" w:lineRule="exact"/>
      </w:pPr>
      <w:r>
        <w:rPr>
          <w:rStyle w:val="6"/>
          <w:rFonts w:eastAsiaTheme="minorHAnsi"/>
        </w:rPr>
        <w:t>На 31.05.2022.</w:t>
      </w:r>
    </w:p>
    <w:tbl>
      <w:tblPr>
        <w:tblOverlap w:val="never"/>
        <w:tblW w:w="0" w:type="auto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344"/>
        <w:gridCol w:w="1248"/>
        <w:gridCol w:w="888"/>
        <w:gridCol w:w="955"/>
        <w:gridCol w:w="955"/>
      </w:tblGrid>
      <w:tr w:rsidR="00CC56A2" w:rsidRPr="00CC56A2" w:rsidTr="00B92058">
        <w:trPr>
          <w:gridAfter w:val="3"/>
          <w:wAfter w:w="2798" w:type="dxa"/>
          <w:trHeight w:hRule="exact" w:val="557"/>
        </w:trPr>
        <w:tc>
          <w:tcPr>
            <w:tcW w:w="3974" w:type="dxa"/>
            <w:gridSpan w:val="3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Педагогических работников: 477 чел. (55,2% от общего числа)</w:t>
            </w:r>
          </w:p>
        </w:tc>
      </w:tr>
      <w:tr w:rsidR="00CC56A2" w:rsidRPr="00CC56A2" w:rsidTr="00B92058">
        <w:trPr>
          <w:trHeight w:hRule="exact" w:val="302"/>
        </w:trPr>
        <w:tc>
          <w:tcPr>
            <w:tcW w:w="1382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ОУ</w:t>
            </w:r>
          </w:p>
        </w:tc>
        <w:tc>
          <w:tcPr>
            <w:tcW w:w="1344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left="640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ДОУ</w:t>
            </w:r>
          </w:p>
        </w:tc>
        <w:tc>
          <w:tcPr>
            <w:tcW w:w="1248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left="680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ДОП</w:t>
            </w:r>
          </w:p>
        </w:tc>
        <w:tc>
          <w:tcPr>
            <w:tcW w:w="888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ОУ</w:t>
            </w: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right="200"/>
              <w:jc w:val="righ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ДОУ</w:t>
            </w: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right="240"/>
              <w:jc w:val="righ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0"/>
                <w:rFonts w:ascii="Liberation Serif" w:hAnsi="Liberation Serif" w:cs="Liberation Serif"/>
              </w:rPr>
              <w:t>ДОП</w:t>
            </w:r>
          </w:p>
        </w:tc>
      </w:tr>
      <w:tr w:rsidR="00CC56A2" w:rsidRPr="00CC56A2" w:rsidTr="00B92058">
        <w:trPr>
          <w:trHeight w:hRule="exact" w:val="288"/>
        </w:trPr>
        <w:tc>
          <w:tcPr>
            <w:tcW w:w="1382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301 чел.</w:t>
            </w:r>
          </w:p>
        </w:tc>
        <w:tc>
          <w:tcPr>
            <w:tcW w:w="1344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142 чел.</w:t>
            </w:r>
          </w:p>
        </w:tc>
        <w:tc>
          <w:tcPr>
            <w:tcW w:w="1248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34 чел.</w:t>
            </w:r>
          </w:p>
        </w:tc>
        <w:tc>
          <w:tcPr>
            <w:tcW w:w="888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left="180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128 чел.</w:t>
            </w: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right="200"/>
              <w:jc w:val="righ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235чел.</w:t>
            </w: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right="240"/>
              <w:jc w:val="righ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24 чел.</w:t>
            </w:r>
          </w:p>
        </w:tc>
      </w:tr>
      <w:tr w:rsidR="00CC56A2" w:rsidRPr="00CC56A2" w:rsidTr="00B92058">
        <w:trPr>
          <w:trHeight w:hRule="exact" w:val="2501"/>
        </w:trPr>
        <w:tc>
          <w:tcPr>
            <w:tcW w:w="1382" w:type="dxa"/>
            <w:shd w:val="clear" w:color="auto" w:fill="FFFFFF"/>
            <w:vAlign w:val="center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 xml:space="preserve">ВКК- 68 </w:t>
            </w:r>
            <w:proofErr w:type="gramStart"/>
            <w:r w:rsidRPr="00CC56A2">
              <w:rPr>
                <w:rStyle w:val="275pt"/>
                <w:rFonts w:ascii="Liberation Serif" w:hAnsi="Liberation Serif" w:cs="Liberation Serif"/>
              </w:rPr>
              <w:t>чел</w:t>
            </w:r>
            <w:proofErr w:type="gramEnd"/>
            <w:r w:rsidRPr="00CC56A2">
              <w:rPr>
                <w:rStyle w:val="275pt"/>
                <w:rFonts w:ascii="Liberation Serif" w:hAnsi="Liberation Serif" w:cs="Liberation Serif"/>
              </w:rPr>
              <w:t>,- 25,2% 1КК- 129 чел. 47,8% СЗД - 27 чел. 10%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Без аттестации -46 чел. 17%</w:t>
            </w:r>
          </w:p>
        </w:tc>
        <w:tc>
          <w:tcPr>
            <w:tcW w:w="1344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Style w:val="275pt"/>
                <w:rFonts w:ascii="Liberation Serif" w:hAnsi="Liberation Serif" w:cs="Liberation Serif"/>
              </w:rPr>
            </w:pP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Style w:val="275pt"/>
                <w:rFonts w:ascii="Liberation Serif" w:hAnsi="Liberation Serif" w:cs="Liberation Serif"/>
              </w:rPr>
            </w:pP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ВКК - 45чел. 31,2%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1КК- 67 чел. 46,5 %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СЗД-12 чел.- 8,5%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Без аттестации - 20 чел.- 13,8 %</w:t>
            </w:r>
          </w:p>
        </w:tc>
        <w:tc>
          <w:tcPr>
            <w:tcW w:w="1248" w:type="dxa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Style w:val="275pt"/>
                <w:rFonts w:ascii="Liberation Serif" w:hAnsi="Liberation Serif" w:cs="Liberation Serif"/>
              </w:rPr>
            </w:pP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Style w:val="275pt"/>
                <w:rFonts w:ascii="Liberation Serif" w:hAnsi="Liberation Serif" w:cs="Liberation Serif"/>
              </w:rPr>
            </w:pP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ВКК - 5 чел.15,6% 1КК-15 чел. 46,8%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СЗД-5 чел. 15,8 %</w:t>
            </w:r>
          </w:p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Без аттестации - 7 чел. 21,8%</w:t>
            </w:r>
          </w:p>
        </w:tc>
        <w:tc>
          <w:tcPr>
            <w:tcW w:w="888" w:type="dxa"/>
            <w:shd w:val="clear" w:color="auto" w:fill="FFFFFF"/>
          </w:tcPr>
          <w:p w:rsidR="00CC56A2" w:rsidRPr="00CC56A2" w:rsidRDefault="00CC56A2" w:rsidP="00B92058">
            <w:pPr>
              <w:framePr w:w="9734" w:h="5179" w:wrap="none" w:vAnchor="page" w:hAnchor="page" w:x="763" w:y="3007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framePr w:w="9734" w:h="5179" w:wrap="none" w:vAnchor="page" w:hAnchor="page" w:x="763" w:y="3007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  <w:tc>
          <w:tcPr>
            <w:tcW w:w="955" w:type="dxa"/>
            <w:shd w:val="clear" w:color="auto" w:fill="FFFFFF"/>
          </w:tcPr>
          <w:p w:rsidR="00CC56A2" w:rsidRPr="00CC56A2" w:rsidRDefault="00CC56A2" w:rsidP="00B92058">
            <w:pPr>
              <w:framePr w:w="9734" w:h="5179" w:wrap="none" w:vAnchor="page" w:hAnchor="page" w:x="763" w:y="3007"/>
              <w:rPr>
                <w:rFonts w:ascii="Liberation Serif" w:hAnsi="Liberation Serif" w:cs="Liberation Serif"/>
                <w:sz w:val="15"/>
                <w:szCs w:val="15"/>
              </w:rPr>
            </w:pPr>
          </w:p>
        </w:tc>
      </w:tr>
      <w:tr w:rsidR="00CC56A2" w:rsidRPr="00CC56A2" w:rsidTr="00B92058">
        <w:trPr>
          <w:gridAfter w:val="3"/>
          <w:wAfter w:w="2798" w:type="dxa"/>
          <w:trHeight w:hRule="exact" w:val="283"/>
        </w:trPr>
        <w:tc>
          <w:tcPr>
            <w:tcW w:w="3974" w:type="dxa"/>
            <w:gridSpan w:val="3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left="1440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Аттестованных – 78,1%</w:t>
            </w:r>
          </w:p>
        </w:tc>
      </w:tr>
      <w:tr w:rsidR="00CC56A2" w:rsidRPr="00CC56A2" w:rsidTr="00B92058">
        <w:trPr>
          <w:gridAfter w:val="3"/>
          <w:wAfter w:w="2798" w:type="dxa"/>
          <w:trHeight w:hRule="exact" w:val="293"/>
        </w:trPr>
        <w:tc>
          <w:tcPr>
            <w:tcW w:w="3974" w:type="dxa"/>
            <w:gridSpan w:val="3"/>
            <w:shd w:val="clear" w:color="auto" w:fill="FFFFFF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ind w:left="920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Высшее педагогическое образование</w:t>
            </w:r>
          </w:p>
        </w:tc>
      </w:tr>
      <w:tr w:rsidR="00CC56A2" w:rsidRPr="00CC56A2" w:rsidTr="00B92058">
        <w:trPr>
          <w:gridAfter w:val="3"/>
          <w:wAfter w:w="2798" w:type="dxa"/>
          <w:trHeight w:hRule="exact" w:val="370"/>
        </w:trPr>
        <w:tc>
          <w:tcPr>
            <w:tcW w:w="1382" w:type="dxa"/>
            <w:shd w:val="clear" w:color="auto" w:fill="FFFFFF"/>
            <w:vAlign w:val="center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70%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21%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CC56A2" w:rsidRPr="00CC56A2" w:rsidRDefault="00CC56A2" w:rsidP="00B92058">
            <w:pPr>
              <w:pStyle w:val="20"/>
              <w:framePr w:w="9734" w:h="5179" w:wrap="none" w:vAnchor="page" w:hAnchor="page" w:x="763" w:y="3007"/>
              <w:shd w:val="clear" w:color="auto" w:fill="auto"/>
              <w:spacing w:line="150" w:lineRule="exact"/>
              <w:jc w:val="left"/>
              <w:rPr>
                <w:rFonts w:ascii="Liberation Serif" w:hAnsi="Liberation Serif" w:cs="Liberation Serif"/>
                <w:sz w:val="15"/>
                <w:szCs w:val="15"/>
              </w:rPr>
            </w:pPr>
            <w:r w:rsidRPr="00CC56A2">
              <w:rPr>
                <w:rStyle w:val="275pt"/>
                <w:rFonts w:ascii="Liberation Serif" w:hAnsi="Liberation Serif" w:cs="Liberation Serif"/>
              </w:rPr>
              <w:t>23,5%</w:t>
            </w:r>
          </w:p>
        </w:tc>
      </w:tr>
    </w:tbl>
    <w:p w:rsidR="00CC56A2" w:rsidRDefault="00CC56A2" w:rsidP="00CC56A2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Default="00CC56A2" w:rsidP="00CC56A2">
      <w:pPr>
        <w:widowControl w:val="0"/>
        <w:spacing w:after="0" w:line="226" w:lineRule="exact"/>
        <w:ind w:left="260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CC56A2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Всего работников в ОО - 864 чел., педагогических 477 чел., из них учителей - 249 чел. Руководителей 57 чел. </w:t>
      </w:r>
    </w:p>
    <w:p w:rsidR="00CC56A2" w:rsidRDefault="00CC56A2" w:rsidP="00CC56A2">
      <w:pPr>
        <w:widowControl w:val="0"/>
        <w:spacing w:after="0" w:line="226" w:lineRule="exact"/>
        <w:ind w:left="260"/>
        <w:rPr>
          <w:rFonts w:ascii="Times New Roman" w:eastAsia="Arial Unicode MS" w:hAnsi="Times New Roman" w:cs="Times New Roman"/>
          <w:b/>
          <w:sz w:val="20"/>
          <w:szCs w:val="20"/>
          <w:lang w:eastAsia="ru-RU" w:bidi="ru-RU"/>
        </w:rPr>
      </w:pPr>
      <w:r w:rsidRPr="00CC56A2">
        <w:rPr>
          <w:rFonts w:ascii="Times New Roman" w:eastAsia="Arial Unicode MS" w:hAnsi="Times New Roman" w:cs="Times New Roman"/>
          <w:b/>
          <w:sz w:val="20"/>
          <w:szCs w:val="20"/>
          <w:lang w:eastAsia="ru-RU" w:bidi="ru-RU"/>
        </w:rPr>
        <w:t>Стаж педагогической работы:</w:t>
      </w:r>
    </w:p>
    <w:tbl>
      <w:tblPr>
        <w:tblStyle w:val="a4"/>
        <w:tblW w:w="9084" w:type="dxa"/>
        <w:tblInd w:w="260" w:type="dxa"/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E358F4" w:rsidRPr="00E358F4" w:rsidTr="00E358F4"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ind w:left="540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Стаж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ind w:left="400"/>
              <w:jc w:val="left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 xml:space="preserve">2021-2022 </w:t>
            </w:r>
            <w:proofErr w:type="spellStart"/>
            <w:r w:rsidRPr="00E358F4">
              <w:rPr>
                <w:rStyle w:val="275pt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ind w:left="960"/>
              <w:jc w:val="left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 xml:space="preserve">2020 -2021 </w:t>
            </w:r>
            <w:proofErr w:type="spellStart"/>
            <w:r w:rsidRPr="00E358F4">
              <w:rPr>
                <w:rStyle w:val="275pt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82" w:lineRule="exact"/>
              <w:ind w:left="400"/>
              <w:jc w:val="left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2020-2019 уч. год</w:t>
            </w:r>
          </w:p>
        </w:tc>
      </w:tr>
      <w:tr w:rsidR="00E358F4" w:rsidRPr="00E358F4" w:rsidTr="00E358F4">
        <w:trPr>
          <w:trHeight w:val="459"/>
        </w:trPr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От 0 лет до 10 лет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149 (31,2% 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179(37%)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143(31,4%)</w:t>
            </w:r>
          </w:p>
        </w:tc>
      </w:tr>
      <w:tr w:rsidR="00E358F4" w:rsidRPr="00E358F4" w:rsidTr="00E358F4">
        <w:trPr>
          <w:trHeight w:val="410"/>
        </w:trPr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От 10 до 20 лет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75 (16,8% 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86(17,8%))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86(18,9%)</w:t>
            </w:r>
          </w:p>
        </w:tc>
      </w:tr>
      <w:tr w:rsidR="00E358F4" w:rsidRPr="00E358F4" w:rsidTr="00E358F4">
        <w:trPr>
          <w:trHeight w:val="415"/>
        </w:trPr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От 20 и более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rStyle w:val="275pt"/>
                <w:sz w:val="20"/>
                <w:szCs w:val="20"/>
              </w:rPr>
              <w:t>236 (52,9 %)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201(41,6%)</w:t>
            </w:r>
          </w:p>
        </w:tc>
        <w:tc>
          <w:tcPr>
            <w:tcW w:w="2271" w:type="dxa"/>
          </w:tcPr>
          <w:p w:rsidR="00E358F4" w:rsidRPr="00E358F4" w:rsidRDefault="00E358F4" w:rsidP="00E358F4">
            <w:pPr>
              <w:pStyle w:val="20"/>
              <w:shd w:val="clear" w:color="auto" w:fill="auto"/>
              <w:spacing w:before="240" w:line="150" w:lineRule="exact"/>
              <w:jc w:val="center"/>
              <w:rPr>
                <w:sz w:val="20"/>
                <w:szCs w:val="20"/>
              </w:rPr>
            </w:pPr>
            <w:r w:rsidRPr="00E358F4">
              <w:rPr>
                <w:sz w:val="20"/>
                <w:szCs w:val="20"/>
              </w:rPr>
              <w:t>225(49,5)</w:t>
            </w:r>
          </w:p>
        </w:tc>
      </w:tr>
    </w:tbl>
    <w:p w:rsidR="00136B58" w:rsidRDefault="00136B58" w:rsidP="00E358F4">
      <w:pPr>
        <w:spacing w:after="0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C56A2" w:rsidRPr="00136B58" w:rsidRDefault="00E358F4" w:rsidP="00E358F4">
      <w:pPr>
        <w:spacing w:after="0"/>
        <w:rPr>
          <w:rFonts w:ascii="Liberation Serif" w:eastAsia="Calibri" w:hAnsi="Liberation Serif" w:cs="Liberation Serif"/>
          <w:b/>
          <w:sz w:val="24"/>
          <w:szCs w:val="24"/>
          <w:shd w:val="clear" w:color="auto" w:fill="FFFFFF"/>
        </w:rPr>
      </w:pPr>
      <w:r w:rsidRPr="00136B58">
        <w:rPr>
          <w:rFonts w:ascii="Liberation Serif" w:eastAsia="Calibri" w:hAnsi="Liberation Serif" w:cs="Liberation Serif"/>
          <w:b/>
          <w:sz w:val="24"/>
          <w:szCs w:val="24"/>
          <w:shd w:val="clear" w:color="auto" w:fill="FFFFFF"/>
        </w:rPr>
        <w:t>Целевая подготовка и трудоустройство молодых специалистов:</w:t>
      </w:r>
    </w:p>
    <w:p w:rsidR="00CC56A2" w:rsidRPr="00136B58" w:rsidRDefault="00CC56A2" w:rsidP="00CC56A2">
      <w:pPr>
        <w:spacing w:after="0"/>
        <w:ind w:firstLine="708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  <w:shd w:val="clear" w:color="auto" w:fill="FFFFFF"/>
        </w:rPr>
        <w:t xml:space="preserve">Образование лежит в основе экономического процветания государства, и его качество напрямую связано с социальным статусом педагогического работника. 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>Ежегодно проводится работа по направлению выпускников образовательных учреждений г.Туринска и района для рассмотрения заключения договоров о целевом приеме в педагогические образовательные учреждения высшего и среднего профессионального образования.</w:t>
      </w:r>
    </w:p>
    <w:p w:rsidR="00CC56A2" w:rsidRPr="00136B58" w:rsidRDefault="00BB30BF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За период с 2019 по 2022</w:t>
      </w:r>
      <w:r w:rsidR="00CC56A2"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годы 6 человек поступило и обучается по целевому направлению в Уральском государственном педагогическом университете и ГАОПУ СО «Ирбитский гуманитарный колледж» по специальности: </w:t>
      </w:r>
    </w:p>
    <w:p w:rsidR="00CC56A2" w:rsidRPr="00136B58" w:rsidRDefault="00CC56A2" w:rsidP="00CC56A2">
      <w:pPr>
        <w:spacing w:after="0" w:line="240" w:lineRule="auto"/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По специальности: </w:t>
      </w:r>
    </w:p>
    <w:p w:rsidR="00CC56A2" w:rsidRPr="00136B58" w:rsidRDefault="00CC56A2" w:rsidP="00CC56A2">
      <w:pPr>
        <w:spacing w:after="0" w:line="240" w:lineRule="auto"/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физическая культура и безопасность жизнедеятельности – 2 человек (СОШ № 2);</w:t>
      </w:r>
    </w:p>
    <w:p w:rsidR="00CC56A2" w:rsidRPr="00136B58" w:rsidRDefault="00CC56A2" w:rsidP="00CC56A2">
      <w:pPr>
        <w:spacing w:after="0" w:line="240" w:lineRule="auto"/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воспитатель -4 человека (Детский сад № 1, Рябинка, Детский сад № 5, Детский сад №7);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lastRenderedPageBreak/>
        <w:t>Образовательные учреждения испытывают острый дефицит кадров учителей иностранного языков, математики, русского языка и литературы, учителей логопедов, педагог- психолог.</w:t>
      </w:r>
    </w:p>
    <w:p w:rsidR="00CC56A2" w:rsidRPr="00136B58" w:rsidRDefault="00CC56A2" w:rsidP="00CC56A2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За последние три года прослеживается положительная динамика поступления молодых педагогов в образовательные учреждения Туринского городского округа. </w:t>
      </w: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2019 году количество молодых педагогов, поступивших на работу в образовательные учрежде</w:t>
      </w:r>
      <w:r w:rsidR="00BB30BF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ния составляло 8 человек, в 2021 – 7 человек, в 2022</w:t>
      </w: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– 9 человек. Т.е. всего за три года в образовательные учреждения Туринского городского округа трудоустроилось 24 молодых педагогов.</w:t>
      </w:r>
    </w:p>
    <w:p w:rsidR="00E358F4" w:rsidRPr="00136B58" w:rsidRDefault="00E358F4" w:rsidP="00CC56A2">
      <w:pPr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Меры социальной поддержки молодых специалистов Туринского городского округа: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В целях обеспечения образовательных учреждений квалифицированными педагогическими кадрами и их закрепления в системе образования, на основании пункта 3 статьи 24 Закона Свердловской области от 15 июля 2013 года №78-ОЗ «Об образовании в Свердловской области» в октябре 2020 года проведена работа по оформлению и представлению в Министерство образования и молодежной политики Свердловской области пакета документов на получение единовременного пособия на обзаведение хозяйством молодыми специалистами 2021 года. В результате чего, </w:t>
      </w:r>
      <w:r w:rsidRPr="00136B5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4 молодых специалистов Туринского городского округа получили единовременное пособие на обзаведение хозяйством на общую сумму 200 000 рублей (местный бюджет) и 240 000 рублей (областной бюджет).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>Выплата пособия позволяет создать условия для дальнейшего профессионального развития (приобретение компьютерной техники, спортивного инвентаря, продолжение обучения). При его получении педагог берет на себя обязательства отработать в образовательном учреждении не менее трех лет.</w:t>
      </w:r>
    </w:p>
    <w:p w:rsidR="00CC56A2" w:rsidRDefault="00CC56A2" w:rsidP="0084149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Размер пособия составляет 35 тыс. рублей для педагогических работников, поступивших на работу в образовательные организации, не отнесенные к сельской местности и 50 тыс. руб. для педагогических работников, поступивших на работу в образовательные организации, расположенные в сельской местности. Положение о таких выплатах утверждено Постановлением Правительства Свердловской области от 18.07.2007 № 687-ПП (с изменениями). </w:t>
      </w:r>
    </w:p>
    <w:p w:rsidR="00DC69A7" w:rsidRPr="00136B58" w:rsidRDefault="00DC69A7" w:rsidP="0084149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>В 2021 году на основании постановления</w:t>
      </w:r>
      <w:r w:rsidRPr="00136B58">
        <w:rPr>
          <w:rFonts w:ascii="Liberation Serif" w:eastAsia="Calibri" w:hAnsi="Liberation Serif" w:cs="Liberation Serif"/>
          <w:color w:val="FF0000"/>
          <w:sz w:val="24"/>
          <w:szCs w:val="24"/>
        </w:rPr>
        <w:t xml:space="preserve"> </w:t>
      </w: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Администрации Туринского городского округа от 25.05.2020 № 486-ПА «О мерах, направленных на обеспечение квалифицированными педагогическими кадрами муниципальных общеобразовательных учреждений Туринского городского округа». 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Предусмотрены выплаты: 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>- стипендии в период обучения гражданам, обучающимся по образовательным программам высшего профессионального образования педагогической направленности по очной форме обучения в размере 2 000 рублей;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36B58">
        <w:rPr>
          <w:rFonts w:ascii="Liberation Serif" w:eastAsia="Calibri" w:hAnsi="Liberation Serif" w:cs="Liberation Serif"/>
          <w:sz w:val="24"/>
          <w:szCs w:val="24"/>
        </w:rPr>
        <w:t xml:space="preserve">- выплата единовременного денежного пособия на обзаведение хозяйством педагогическим работникам, поступающим на работу в муниципальные общеобразовательные учреждения Туринского городского округа в первый год после окончания обучения по очной форме в учреждения, осуществляющей образовательную деятельность по образовательным программам среднего профессионального, высшего профессионального </w:t>
      </w:r>
      <w:r w:rsidRPr="00136B58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образования педагогической направленности в размере 50 000 рублей. 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/>
          <w:sz w:val="24"/>
          <w:szCs w:val="24"/>
        </w:rPr>
        <w:t>В результате чего: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/>
          <w:sz w:val="24"/>
          <w:szCs w:val="24"/>
        </w:rPr>
        <w:t>- 2 обучающихся по очной форме обучения по образовательным программам высшего профессионального образования педагогической направленности, получают стипендию Туринского городского округа;</w:t>
      </w:r>
    </w:p>
    <w:p w:rsidR="00CC56A2" w:rsidRPr="00136B58" w:rsidRDefault="00CC56A2" w:rsidP="00CC56A2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136B58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- 4 педагогических работников, поступивших на работу в муниципальные общеобразовательные учреждения Туринского городского округа в первый год после </w:t>
      </w:r>
      <w:r w:rsidRPr="00136B58">
        <w:rPr>
          <w:rFonts w:ascii="Liberation Serif" w:eastAsia="Calibri" w:hAnsi="Liberation Serif" w:cs="Liberation Serif"/>
          <w:color w:val="000000"/>
          <w:sz w:val="24"/>
          <w:szCs w:val="24"/>
        </w:rPr>
        <w:lastRenderedPageBreak/>
        <w:t>окончания обучения по очной форме в организации, осуществляющей образовательную деятельность по образовательным программам среднего профессионального, высшего профессионального образования педагогической направленности получили выплату Туринского городского округа.</w:t>
      </w:r>
    </w:p>
    <w:p w:rsidR="00CC56A2" w:rsidRPr="008927F0" w:rsidRDefault="00CC56A2" w:rsidP="00CC56A2">
      <w:pPr>
        <w:pStyle w:val="a3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DE10F9" w:rsidRPr="00136B58" w:rsidRDefault="00E358F4">
      <w:pPr>
        <w:rPr>
          <w:rFonts w:ascii="Liberation Serif" w:hAnsi="Liberation Serif" w:cs="Liberation Serif"/>
          <w:b/>
          <w:sz w:val="24"/>
          <w:szCs w:val="24"/>
        </w:rPr>
      </w:pPr>
      <w:r w:rsidRPr="00136B58">
        <w:rPr>
          <w:rFonts w:ascii="Liberation Serif" w:hAnsi="Liberation Serif" w:cs="Liberation Serif"/>
          <w:b/>
          <w:sz w:val="24"/>
          <w:szCs w:val="24"/>
        </w:rPr>
        <w:t>Повышение квалификации, направленное на развитие профессиональных компетенций педагога и формирование новых.</w:t>
      </w:r>
    </w:p>
    <w:p w:rsidR="00136B58" w:rsidRPr="00136B58" w:rsidRDefault="00E358F4" w:rsidP="00136B58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6B58">
        <w:rPr>
          <w:rFonts w:ascii="Liberation Serif" w:hAnsi="Liberation Serif" w:cs="Liberation Serif"/>
          <w:sz w:val="24"/>
          <w:szCs w:val="24"/>
        </w:rPr>
        <w:t>В качестве одной из основных стратегий государственной политики в области образования определяется постоянное повышение квалификации педагогов с целью углубления и усовершенствования имеющихся профессиональных знаний, повышения качества профессиональной деятельности. Курсовая подготовка педагогиче</w:t>
      </w:r>
      <w:r w:rsidR="00BB30BF">
        <w:rPr>
          <w:rFonts w:ascii="Liberation Serif" w:hAnsi="Liberation Serif" w:cs="Liberation Serif"/>
          <w:sz w:val="24"/>
          <w:szCs w:val="24"/>
        </w:rPr>
        <w:t>ских и руководящих кадров в 2022-2023</w:t>
      </w:r>
      <w:r w:rsidRPr="00136B58">
        <w:rPr>
          <w:rFonts w:ascii="Liberation Serif" w:hAnsi="Liberation Serif" w:cs="Liberation Serif"/>
          <w:sz w:val="24"/>
          <w:szCs w:val="24"/>
        </w:rPr>
        <w:t xml:space="preserve"> учебном году осуществлялась в соответствии с планированием, сформированном на качественном анализе потребности педагогических и руководящих работников образовательных учреждений </w:t>
      </w:r>
      <w:r w:rsidR="00136B58" w:rsidRPr="00136B58">
        <w:rPr>
          <w:rFonts w:ascii="Liberation Serif" w:hAnsi="Liberation Serif" w:cs="Liberation Serif"/>
          <w:sz w:val="24"/>
          <w:szCs w:val="24"/>
        </w:rPr>
        <w:t xml:space="preserve">в курсовой подготовке и современных требований, предъявляемых к учителю в связи с модернизацией образования и переходом на новые стандарты. </w:t>
      </w:r>
    </w:p>
    <w:p w:rsidR="00E358F4" w:rsidRDefault="00136B58" w:rsidP="00136B58">
      <w:pPr>
        <w:spacing w:after="0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36B58">
        <w:rPr>
          <w:rFonts w:ascii="Liberation Serif" w:hAnsi="Liberation Serif" w:cs="Liberation Serif"/>
          <w:sz w:val="24"/>
          <w:szCs w:val="24"/>
        </w:rPr>
        <w:t>Анализ повышения</w:t>
      </w:r>
      <w:r>
        <w:rPr>
          <w:rFonts w:ascii="Liberation Serif" w:hAnsi="Liberation Serif" w:cs="Liberation Serif"/>
          <w:sz w:val="24"/>
          <w:szCs w:val="24"/>
        </w:rPr>
        <w:t xml:space="preserve"> квалификации педагогов за 2021-2022 учебного года показал, что большая часть педагогов прошла курсы по направлениям через обучение в ГАУ ДПО СО ИРО. Обучение проводилось в рамках Гос. задания (соглашение) и через финансирование (субвенции): ДОУ-</w:t>
      </w:r>
      <w:r w:rsidR="00B90F0B">
        <w:rPr>
          <w:rFonts w:ascii="Liberation Serif" w:hAnsi="Liberation Serif" w:cs="Liberation Serif"/>
          <w:sz w:val="24"/>
          <w:szCs w:val="24"/>
        </w:rPr>
        <w:t>34 275 рублей, СОШ- 389 870 рублей. С 01.01.2022 было обучено 158 работников образования.</w:t>
      </w:r>
    </w:p>
    <w:p w:rsidR="00B90F0B" w:rsidRPr="00492EBF" w:rsidRDefault="00B90F0B" w:rsidP="00136B58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2EBF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муниципальных образовательных организаций обучились по программам профессиональной переподготовки педагогической направленности: 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Теория и методика преподавания курсов ОДНК и ОРКЭ-1 чел;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Педагогическое образование математика в условиях введения и реализации ФГОС СОО, ООО-1 чел;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Учитель основ безопасности жизнедеятельности- 1 чел.;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Обучение лиц с ОВЗ- 1 чел.;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Специальное образование. Психолого- педагогическое сопровождение лиц с ОВЗ-1 чел;</w:t>
      </w:r>
    </w:p>
    <w:p w:rsidR="00DC69A7" w:rsidRPr="00DC69A7" w:rsidRDefault="00DC69A7" w:rsidP="00DC69A7">
      <w:pPr>
        <w:numPr>
          <w:ilvl w:val="0"/>
          <w:numId w:val="2"/>
        </w:numPr>
        <w:spacing w:after="0" w:line="240" w:lineRule="auto"/>
        <w:ind w:firstLine="491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69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Педагогическое образование: тренер- преподаватель-2 чел. </w:t>
      </w:r>
    </w:p>
    <w:p w:rsidR="00DC69A7" w:rsidRPr="00492EBF" w:rsidRDefault="00DC69A7" w:rsidP="00136B58">
      <w:pPr>
        <w:spacing w:after="0"/>
        <w:ind w:firstLine="567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92EBF">
        <w:rPr>
          <w:rFonts w:ascii="Liberation Serif" w:hAnsi="Liberation Serif" w:cs="Liberation Serif"/>
          <w:b/>
          <w:sz w:val="24"/>
          <w:szCs w:val="24"/>
        </w:rPr>
        <w:t xml:space="preserve">Направленность </w:t>
      </w:r>
      <w:r w:rsidR="00E96D7D" w:rsidRPr="00492EBF">
        <w:rPr>
          <w:rFonts w:ascii="Liberation Serif" w:hAnsi="Liberation Serif" w:cs="Liberation Serif"/>
          <w:b/>
          <w:sz w:val="24"/>
          <w:szCs w:val="24"/>
        </w:rPr>
        <w:t>программ курс</w:t>
      </w:r>
      <w:r w:rsidR="00BB30BF">
        <w:rPr>
          <w:rFonts w:ascii="Liberation Serif" w:hAnsi="Liberation Serif" w:cs="Liberation Serif"/>
          <w:b/>
          <w:sz w:val="24"/>
          <w:szCs w:val="24"/>
        </w:rPr>
        <w:t>ов повышения квалификации в 2023-2024</w:t>
      </w:r>
      <w:r w:rsidR="00E96D7D" w:rsidRPr="00492EBF">
        <w:rPr>
          <w:rFonts w:ascii="Liberation Serif" w:hAnsi="Liberation Serif" w:cs="Liberation Serif"/>
          <w:b/>
          <w:sz w:val="24"/>
          <w:szCs w:val="24"/>
        </w:rPr>
        <w:t xml:space="preserve"> учебном году:</w:t>
      </w:r>
    </w:p>
    <w:p w:rsidR="00E96D7D" w:rsidRPr="00E96D7D" w:rsidRDefault="00E96D7D" w:rsidP="00E96D7D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E96D7D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1. «Реализация требований ФГОС ООО, СОО в работе учителя, обучение с использованием ДОТ; 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2. «Оказание доврачебной медицинской помощи в ОО» 72 ч.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3. Охрана труда и ПТМ;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4. Подготовка организаторов ОГЭ, обучение с использованием ДОТ Вариативный модуль: модуль 1 для организаторов, для ассистентов участников ОГЭ;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5. «Школа современного учителя»;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6. Конструирование современного урока математики в рамках реализации обновленных ФГОС;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7.Функциональная грамотность: принципы и методы создания диагностических работ;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8. Конструирование современного урока иностранного языка в рамках реализации обновленных ФГОС;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9. Психолого-педагогическая коррекция и обучение детей с расстройствами аутистического спектра (РАС);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10. Современные подходы к образованию детей с ОВЗ в условиях ООО;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11. Организация методической работы в школе;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12. Содержание и методика подготовки школьников к государственной итоговой аттестации;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13. Организация питания в общеобразовательном упреждении (16ч) 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14.Тьюторское сопровождение детей с ОВЗ и инвалидностью в процессе образовательной деятельности;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15. Деятельность педагога- психолога в ОО в условиях инклюзивного образования;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16. Конструирование образовательного процесса в центрах образования естественно- научной и технологической направленности «Точка роста», обучение с использованием ДОТ;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17. Методология и технологии цифровых образовательных технологий в ОО;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18. Профилактика гриппа и ОРВИ в том числе </w:t>
      </w: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val="en-US" w:eastAsia="ru-RU"/>
        </w:rPr>
        <w:t>COVID</w:t>
      </w: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-2019;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19. Особенности реализации образовательной программы «От Фербера до робота: растим будущих инженеров»;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20. Педагог дополнительного образования: современные подходы к профессиональной деятельности;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21. Развитие ребенка в раннем возрасте от 0 до 3 лет в соответствии с ФГОС;</w:t>
      </w:r>
    </w:p>
    <w:p w:rsidR="00E96D7D" w:rsidRPr="00E96D7D" w:rsidRDefault="00E96D7D" w:rsidP="00E96D7D">
      <w:pPr>
        <w:spacing w:after="0" w:line="240" w:lineRule="auto"/>
        <w:ind w:left="153" w:firstLine="414"/>
        <w:contextualSpacing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96D7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22. Реализация инновационной программы дошкольного образования от рождения до школы; </w:t>
      </w:r>
    </w:p>
    <w:p w:rsidR="008927F0" w:rsidRPr="008927F0" w:rsidRDefault="008927F0" w:rsidP="008927F0">
      <w:pPr>
        <w:spacing w:before="180" w:after="180" w:line="240" w:lineRule="auto"/>
        <w:jc w:val="both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 w:rsidRPr="008927F0"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8927F0" w:rsidRPr="008927F0" w:rsidRDefault="008927F0" w:rsidP="008927F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927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Одним из средств профессионального развития педагога является аттестация, которая,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 № 276,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</w:p>
    <w:p w:rsidR="008927F0" w:rsidRPr="008927F0" w:rsidRDefault="008927F0" w:rsidP="008927F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927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Процесс аттестации в образовательном учреждении носит планомерный и целенаправленный характер, позволяет формировать высококвалифицированный кадровый состав и обеспечить социальную защищенность работников путем дифференциации оплаты труда. Анализ аттестационных процессов свидетельствует о том, что результаты профессиональной деятельности аттестованных педагогов положительны и выражены в следующем:</w:t>
      </w:r>
    </w:p>
    <w:p w:rsidR="008927F0" w:rsidRPr="008927F0" w:rsidRDefault="008927F0" w:rsidP="008927F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927F0">
        <w:rPr>
          <w:rFonts w:ascii="Liberation Serif" w:eastAsia="Times New Roman" w:hAnsi="Liberation Serif" w:cs="Liberation Serif"/>
          <w:sz w:val="24"/>
          <w:szCs w:val="24"/>
          <w:lang w:eastAsia="ru-RU"/>
        </w:rPr>
        <w:t>100 % педагогических работников, заявившихся на высшую и первую к</w:t>
      </w:r>
      <w:r w:rsidR="00BB30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валификационную категорию в 2022-2023</w:t>
      </w:r>
      <w:r w:rsidRPr="008927F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учебном году подтвердили соответствие уровня квалификации требованиям к заявленной категории. Основной формой аттестации был аналитических отчет, публично (с использованием видеоконференцсвязи).</w:t>
      </w:r>
    </w:p>
    <w:p w:rsidR="008927F0" w:rsidRPr="008927F0" w:rsidRDefault="008927F0" w:rsidP="008927F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927F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Анализ результатов аттестации педагогических работников- важная часть процесса управления качеством образования, поскольку позволяет выявить типичные проблемы и затруднения педагогов и сформировать направления улучшения педагогической деятельности в системе образования.</w:t>
      </w:r>
    </w:p>
    <w:p w:rsidR="008927F0" w:rsidRPr="008927F0" w:rsidRDefault="00BB30BF" w:rsidP="008927F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По состоянию на 31.05.2023</w:t>
      </w:r>
      <w:r w:rsidR="008927F0" w:rsidRPr="008927F0">
        <w:rPr>
          <w:rFonts w:ascii="Liberation Serif" w:eastAsia="Calibri" w:hAnsi="Liberation Serif" w:cs="Liberation Serif"/>
          <w:sz w:val="24"/>
          <w:szCs w:val="24"/>
        </w:rPr>
        <w:t>г. количество аттестованных педагогических работников организаций, осуществляющих образовательную деятельность составляет 446 человек.</w:t>
      </w:r>
    </w:p>
    <w:p w:rsidR="008927F0" w:rsidRDefault="008927F0" w:rsidP="008927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</w:p>
    <w:p w:rsidR="008927F0" w:rsidRPr="008927F0" w:rsidRDefault="008927F0" w:rsidP="008927F0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</w:rPr>
      </w:pPr>
    </w:p>
    <w:tbl>
      <w:tblPr>
        <w:tblStyle w:val="1"/>
        <w:tblW w:w="9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851"/>
        <w:gridCol w:w="1134"/>
        <w:gridCol w:w="992"/>
        <w:gridCol w:w="1134"/>
        <w:gridCol w:w="992"/>
        <w:gridCol w:w="1134"/>
        <w:gridCol w:w="1134"/>
      </w:tblGrid>
      <w:tr w:rsidR="008927F0" w:rsidRPr="008927F0" w:rsidTr="00B92058">
        <w:tc>
          <w:tcPr>
            <w:tcW w:w="1447" w:type="dxa"/>
            <w:vMerge w:val="restart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КК</w:t>
            </w:r>
          </w:p>
        </w:tc>
        <w:tc>
          <w:tcPr>
            <w:tcW w:w="1701" w:type="dxa"/>
            <w:gridSpan w:val="2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2126" w:type="dxa"/>
            <w:gridSpan w:val="2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6" w:type="dxa"/>
            <w:gridSpan w:val="2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УДО</w:t>
            </w:r>
          </w:p>
        </w:tc>
        <w:tc>
          <w:tcPr>
            <w:tcW w:w="2268" w:type="dxa"/>
            <w:gridSpan w:val="2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Всего аттестованных в ТГО</w:t>
            </w:r>
          </w:p>
        </w:tc>
      </w:tr>
      <w:tr w:rsidR="008927F0" w:rsidRPr="008927F0" w:rsidTr="00B92058">
        <w:tc>
          <w:tcPr>
            <w:tcW w:w="1447" w:type="dxa"/>
            <w:vMerge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851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Кол-во чел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927F0" w:rsidRPr="008927F0" w:rsidTr="00B92058"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850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26,4</w:t>
            </w:r>
          </w:p>
        </w:tc>
      </w:tr>
      <w:tr w:rsidR="008927F0" w:rsidRPr="008927F0" w:rsidTr="00B92058"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850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47,5</w:t>
            </w:r>
          </w:p>
        </w:tc>
      </w:tr>
      <w:tr w:rsidR="008927F0" w:rsidRPr="008927F0" w:rsidTr="00B92058"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850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9,8</w:t>
            </w:r>
          </w:p>
        </w:tc>
      </w:tr>
      <w:tr w:rsidR="008927F0" w:rsidRPr="008927F0" w:rsidTr="00B92058"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850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16,3</w:t>
            </w:r>
          </w:p>
        </w:tc>
      </w:tr>
    </w:tbl>
    <w:p w:rsidR="008927F0" w:rsidRPr="008927F0" w:rsidRDefault="008927F0" w:rsidP="008927F0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8927F0" w:rsidRPr="008927F0" w:rsidRDefault="008927F0" w:rsidP="008927F0">
      <w:pPr>
        <w:spacing w:after="0" w:line="240" w:lineRule="auto"/>
        <w:ind w:left="-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  <w:r w:rsidRPr="008927F0">
        <w:rPr>
          <w:rFonts w:ascii="Liberation Serif" w:eastAsia="Calibri" w:hAnsi="Liberation Serif" w:cs="Liberation Serif"/>
          <w:b/>
          <w:sz w:val="24"/>
          <w:szCs w:val="24"/>
        </w:rPr>
        <w:t>Информация о к</w:t>
      </w:r>
      <w:r w:rsidR="00BB30BF">
        <w:rPr>
          <w:rFonts w:ascii="Liberation Serif" w:eastAsia="Calibri" w:hAnsi="Liberation Serif" w:cs="Liberation Serif"/>
          <w:b/>
          <w:sz w:val="24"/>
          <w:szCs w:val="24"/>
        </w:rPr>
        <w:t>оличестве аттестовавшийся в 2022-2023</w:t>
      </w:r>
      <w:r w:rsidRPr="008927F0">
        <w:rPr>
          <w:rFonts w:ascii="Liberation Serif" w:eastAsia="Calibri" w:hAnsi="Liberation Serif" w:cs="Liberation Serif"/>
          <w:b/>
          <w:sz w:val="24"/>
          <w:szCs w:val="24"/>
        </w:rPr>
        <w:t xml:space="preserve"> учебном году педагогических работников организаций, осуществляющих образовательную деятельность:</w:t>
      </w:r>
    </w:p>
    <w:p w:rsidR="008927F0" w:rsidRPr="008927F0" w:rsidRDefault="008927F0" w:rsidP="008927F0">
      <w:pPr>
        <w:spacing w:after="0" w:line="240" w:lineRule="auto"/>
        <w:ind w:left="-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W w:w="99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8"/>
        <w:gridCol w:w="1560"/>
        <w:gridCol w:w="1275"/>
        <w:gridCol w:w="1134"/>
        <w:gridCol w:w="993"/>
        <w:gridCol w:w="850"/>
        <w:gridCol w:w="909"/>
        <w:gridCol w:w="792"/>
        <w:gridCol w:w="1418"/>
      </w:tblGrid>
      <w:tr w:rsidR="008927F0" w:rsidRPr="008927F0" w:rsidTr="00B92058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 ВКК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1КК на ВКК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Понизили с ВКК на 1КК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Подтвердили 1КК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1КК впервые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СЗД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подтвердили КК</w:t>
            </w:r>
          </w:p>
        </w:tc>
      </w:tr>
      <w:tr w:rsidR="008927F0" w:rsidRPr="008927F0" w:rsidTr="00B92058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7F0" w:rsidRPr="008927F0" w:rsidTr="00B92058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7F0" w:rsidRPr="008927F0" w:rsidTr="00B92058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27F0" w:rsidRPr="008927F0" w:rsidTr="00B92058">
        <w:trPr>
          <w:trHeight w:val="7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:rsidR="008927F0" w:rsidRPr="008927F0" w:rsidRDefault="008927F0" w:rsidP="0089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27F0" w:rsidRPr="008927F0" w:rsidRDefault="008927F0" w:rsidP="008927F0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927F0" w:rsidRPr="008927F0" w:rsidRDefault="008927F0" w:rsidP="008927F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8927F0">
        <w:rPr>
          <w:rFonts w:ascii="Liberation Serif" w:eastAsia="Calibri" w:hAnsi="Liberation Serif" w:cs="Liberation Serif"/>
          <w:sz w:val="24"/>
          <w:szCs w:val="24"/>
        </w:rPr>
        <w:t xml:space="preserve">За последние три года в Туринском городском округе наблюдается тенденция стабильно аттестованных педагогических работников образовательных организаций. </w:t>
      </w:r>
    </w:p>
    <w:p w:rsidR="008927F0" w:rsidRPr="008927F0" w:rsidRDefault="008927F0" w:rsidP="008927F0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Style w:val="1"/>
        <w:tblW w:w="10156" w:type="dxa"/>
        <w:jc w:val="center"/>
        <w:tblLook w:val="04A0" w:firstRow="1" w:lastRow="0" w:firstColumn="1" w:lastColumn="0" w:noHBand="0" w:noVBand="1"/>
      </w:tblPr>
      <w:tblGrid>
        <w:gridCol w:w="1447"/>
        <w:gridCol w:w="2903"/>
        <w:gridCol w:w="2903"/>
        <w:gridCol w:w="2903"/>
      </w:tblGrid>
      <w:tr w:rsidR="008927F0" w:rsidRPr="008927F0" w:rsidTr="00B92058">
        <w:trPr>
          <w:jc w:val="center"/>
        </w:trPr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2903" w:type="dxa"/>
          </w:tcPr>
          <w:p w:rsidR="008927F0" w:rsidRPr="008927F0" w:rsidRDefault="008927F0" w:rsidP="00BB30BF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="00BB30BF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</w:t>
            </w: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</w:t>
            </w:r>
            <w:r w:rsidR="00BB30BF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021</w:t>
            </w:r>
          </w:p>
        </w:tc>
        <w:tc>
          <w:tcPr>
            <w:tcW w:w="2903" w:type="dxa"/>
          </w:tcPr>
          <w:p w:rsidR="008927F0" w:rsidRPr="008927F0" w:rsidRDefault="00BB30BF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2022</w:t>
            </w:r>
          </w:p>
        </w:tc>
      </w:tr>
      <w:tr w:rsidR="008927F0" w:rsidRPr="008927F0" w:rsidTr="00B92058">
        <w:trPr>
          <w:jc w:val="center"/>
        </w:trPr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ВКК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17% (83)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20,3%(94)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26,4%(118)</w:t>
            </w:r>
          </w:p>
        </w:tc>
      </w:tr>
      <w:tr w:rsidR="008927F0" w:rsidRPr="008927F0" w:rsidTr="00B92058">
        <w:trPr>
          <w:jc w:val="center"/>
        </w:trPr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1КК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56,4% (275)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54%(250)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47,3%(211)</w:t>
            </w:r>
          </w:p>
        </w:tc>
      </w:tr>
      <w:tr w:rsidR="008927F0" w:rsidRPr="008927F0" w:rsidTr="00B92058">
        <w:trPr>
          <w:jc w:val="center"/>
        </w:trPr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СЗД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13,3% (65)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12,3%(57)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9,8%(44)</w:t>
            </w:r>
          </w:p>
        </w:tc>
      </w:tr>
      <w:tr w:rsidR="008927F0" w:rsidRPr="008927F0" w:rsidTr="00B92058">
        <w:trPr>
          <w:jc w:val="center"/>
        </w:trPr>
        <w:tc>
          <w:tcPr>
            <w:tcW w:w="1447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13,5% (66)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13,4%(62)</w:t>
            </w:r>
          </w:p>
        </w:tc>
        <w:tc>
          <w:tcPr>
            <w:tcW w:w="2903" w:type="dxa"/>
          </w:tcPr>
          <w:p w:rsidR="008927F0" w:rsidRPr="008927F0" w:rsidRDefault="008927F0" w:rsidP="008927F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927F0">
              <w:rPr>
                <w:rFonts w:ascii="Liberation Serif" w:eastAsia="Calibri" w:hAnsi="Liberation Serif" w:cs="Liberation Serif"/>
                <w:sz w:val="24"/>
                <w:szCs w:val="24"/>
              </w:rPr>
              <w:t>16,3%(73)</w:t>
            </w:r>
          </w:p>
        </w:tc>
      </w:tr>
    </w:tbl>
    <w:p w:rsidR="00E96D7D" w:rsidRDefault="00E96D7D" w:rsidP="008927F0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F81148" w:rsidRDefault="00F81148" w:rsidP="008927F0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Важная роль в сопровождении педагога, оказание методической помощи педагогических работников.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29 декабря 2012 года № 273–ФЗ «Об образовании в Российской Федерации», приказом МКУ «Управление образованием» от 18.09.2020 «Об организации методической работы в </w:t>
      </w:r>
      <w:r>
        <w:rPr>
          <w:rFonts w:ascii="Liberation Serif" w:hAnsi="Liberation Serif" w:cs="Liberation Serif"/>
          <w:sz w:val="24"/>
          <w:szCs w:val="24"/>
        </w:rPr>
        <w:t>2021-2022</w:t>
      </w:r>
      <w:r w:rsidRPr="00F81148">
        <w:rPr>
          <w:rFonts w:ascii="Liberation Serif" w:hAnsi="Liberation Serif" w:cs="Liberation Serif"/>
          <w:sz w:val="24"/>
          <w:szCs w:val="24"/>
        </w:rPr>
        <w:t xml:space="preserve"> учебном году» и в целях координации методической работы и развития единого информационно-педагогического пространства в образовательных учреждениях, подведомственных МКУ «Управление образованием», в 2020 - 2021 учебном году   была организована деяте</w:t>
      </w:r>
      <w:r w:rsidR="00981C29">
        <w:rPr>
          <w:rFonts w:ascii="Liberation Serif" w:hAnsi="Liberation Serif" w:cs="Liberation Serif"/>
          <w:sz w:val="24"/>
          <w:szCs w:val="24"/>
        </w:rPr>
        <w:t xml:space="preserve">льность районных методических </w:t>
      </w:r>
      <w:r w:rsidRPr="00F81148">
        <w:rPr>
          <w:rFonts w:ascii="Liberation Serif" w:hAnsi="Liberation Serif" w:cs="Liberation Serif"/>
          <w:sz w:val="24"/>
          <w:szCs w:val="24"/>
        </w:rPr>
        <w:t>объединений.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lastRenderedPageBreak/>
        <w:t>В 2020/2021 учебном году районные методические объединения работали над единой методической темой «Качество профессиональной деятельности педагогов – как условие обеспечения качества современного образования в условиях реализации федеральных государственных образовательных стандартов общего образования и приоритетного национального проекта «Образование».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На текущий год была поставлена цель – формирование общих и профессиональных компетенций педагогических работников в ходе создания системы непрерывного профессионального развития через интеграцию современных педагогических и информационных технологий. </w:t>
      </w:r>
    </w:p>
    <w:p w:rsidR="00F81148" w:rsidRPr="00ED5EA5" w:rsidRDefault="00F81148" w:rsidP="00F81148">
      <w:pPr>
        <w:spacing w:after="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D5EA5">
        <w:rPr>
          <w:rFonts w:ascii="Liberation Serif" w:hAnsi="Liberation Serif" w:cs="Liberation Serif"/>
          <w:b/>
          <w:sz w:val="24"/>
          <w:szCs w:val="24"/>
        </w:rPr>
        <w:t xml:space="preserve">Достижение цели осуществлялось через решение поставленных приоритетных задач: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1.  создание условий для повышения качества кадрового потенциала системы общего образования;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2. обеспечение подготовки руководящих и педагогических кадров для работы по федеральным государственным образовательным стандартам;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3. методическая и кадровая поддержки процессов информатизации в образовательных учреждениях;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4. расширение информационной открытости системы образования;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5. создание условий для организации дистанционного образования;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6. реализация федеральных государственных образовательных стандартов;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7. совершенствование муниципальной системы оценки качества образования;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8.  развитие системы выявления и сопровождения одаренных детей, обеспечение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преемственности в работе с одаренными детьми дошкольного и школьного возраста.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9.   участие в конкурсах различного уровня. 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С целью совершенствования методической работы, развития инновационной деятельности в условиях единого методического пространства   в </w:t>
      </w:r>
      <w:r w:rsidR="00BB30BF">
        <w:rPr>
          <w:rFonts w:ascii="Liberation Serif" w:hAnsi="Liberation Serif" w:cs="Liberation Serif"/>
          <w:sz w:val="24"/>
          <w:szCs w:val="24"/>
        </w:rPr>
        <w:t>2022-2023</w:t>
      </w:r>
      <w:r w:rsidRPr="00F81148">
        <w:rPr>
          <w:rFonts w:ascii="Liberation Serif" w:hAnsi="Liberation Serif" w:cs="Liberation Serif"/>
          <w:sz w:val="24"/>
          <w:szCs w:val="24"/>
        </w:rPr>
        <w:t xml:space="preserve"> учебном году в МКУ «Управление образованием» разработаны и утверждены локальные акты, регламентирующие методическую работу и деятельность районных методических объединений: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Приказ МКУ «Управление образованием» от 18.09.2020 №169-п «Об организации методической работы в </w:t>
      </w:r>
      <w:r w:rsidR="00BB30BF">
        <w:rPr>
          <w:rFonts w:ascii="Liberation Serif" w:hAnsi="Liberation Serif" w:cs="Liberation Serif"/>
          <w:sz w:val="24"/>
          <w:szCs w:val="24"/>
        </w:rPr>
        <w:t>2022-2023</w:t>
      </w:r>
      <w:r w:rsidRPr="00F81148">
        <w:rPr>
          <w:rFonts w:ascii="Liberation Serif" w:hAnsi="Liberation Serif" w:cs="Liberation Serif"/>
          <w:sz w:val="24"/>
          <w:szCs w:val="24"/>
        </w:rPr>
        <w:t xml:space="preserve"> учебном году»;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23.12.2020 №224-п «Об утверждении Положения о порядке и условиях выдачи сертификата педагогическим работникам образовательных учреждений, подведомственных МКУ «Управление образованием»;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28.12.2020 №230-п «Об утверждении плана мероприятий (Дорожная карта) по реализации Концепции преподавания предметной области «Технология» в общеобразовательных учреждениях Туринского городского округа на 2021 год»;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10.02.2021 №17-п «Об утверждении Муниципальной модели мониторинга качества дошкольного образования в Туринском городском округе»;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18.02.2021 №23-п «Об утверждении Положения о порядке проведения мониторинга качества дошкольного образования в Туринском городском округе»;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24.02.2021 №26-п «Об утверждении Методики проведения мониторинга каче</w:t>
      </w:r>
      <w:r w:rsidR="00981C29">
        <w:rPr>
          <w:rFonts w:ascii="Liberation Serif" w:hAnsi="Liberation Serif" w:cs="Liberation Serif"/>
          <w:sz w:val="24"/>
          <w:szCs w:val="24"/>
        </w:rPr>
        <w:t>ства дошкольного образования в Т</w:t>
      </w:r>
      <w:r w:rsidRPr="00F81148">
        <w:rPr>
          <w:rFonts w:ascii="Liberation Serif" w:hAnsi="Liberation Serif" w:cs="Liberation Serif"/>
          <w:sz w:val="24"/>
          <w:szCs w:val="24"/>
        </w:rPr>
        <w:t>уринском городском округе»;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lastRenderedPageBreak/>
        <w:t xml:space="preserve">- Приказ МКУ «Управление образованием» от 17.03.2021 №37-п «Об утверждении Положения о муниципальной системе методической работы»;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Приказ МКУ «Управление образованием» от 19.05.2021 №72-п «Об утверждении Положения о районном методическом объединении педагогических работников образовательных учреждений, подведомственных МКУ «Управление образованием»;  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Приказ МКУ «Управление образованием» от 24.05.2021 №75-п «Об утверждении Программы поддержки районных и школьных методических объединений»;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 Приказ МКУ «Управление образованием» от 28.06.2021 №113-п «Об утверждении мероприятий (Дорожной карты) по развитию муниципальной системы оценки эффективности дошкольного образования в Туринском городском округе на 2021-2025 годы».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Районные методические объединения возглавляли педагоги-профессионалы, имеющие большой опыт педагогической работы. Содержание работы РМО строилось в соответствии с приоритетными направлениями методической работы: изучение нормативной и методической документации по вопросам образования; обеспечение профессионального роста педагогов; освоение нового содержания современных технологий и методов педагогической деятельности по своему предмету; изучение и анализ состояния преподавания по предметам своего профиля или воспитательного процесса; обобщение передового опыта педагогов.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Цель работы РМО: непрерывное совершенствование уровня педагогического мастерства педагогов, обеспечение условий для формирования профессиональных компетенций педагогов, необходимых для достижения качественного образования, обмен опытом работы.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     Особое внимание методических объединений было направлено на развитие компетентности, творческих способностей педагогов, позволяющих успешно осуществлять образовательную и методическую деятельность, качественно готовить выпускников к итоговой аттестации.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 В течение учебного года всего функционировало 19 районных методических объединений, в 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- 13 предметных районных методических объединений;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- 3 РМО психолого-педагогического сопровождения; </w:t>
      </w:r>
    </w:p>
    <w:p w:rsid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- 3 РМО дошкольного образования.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Всего в течение учебного года проведено 46 заседаний РМО, в том числе учителей-предметников – 31, дошкольного образования – 9, психолого-педагогического сопровождения – 6.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В общеобразовательных учреждениях функционировало 57 школьных методических объединений.  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   </w:t>
      </w:r>
      <w:r w:rsidRPr="00F81148">
        <w:rPr>
          <w:rFonts w:ascii="Liberation Serif" w:hAnsi="Liberation Serif" w:cs="Liberation Serif"/>
          <w:sz w:val="24"/>
          <w:szCs w:val="24"/>
        </w:rPr>
        <w:tab/>
        <w:t xml:space="preserve"> На уровне района с 2019 года создан и работает Методический Совет, курирующий все вопр</w:t>
      </w:r>
      <w:r w:rsidR="00BB30BF">
        <w:rPr>
          <w:rFonts w:ascii="Liberation Serif" w:hAnsi="Liberation Serif" w:cs="Liberation Serif"/>
          <w:sz w:val="24"/>
          <w:szCs w:val="24"/>
        </w:rPr>
        <w:t>осы методической работы.  В 2021-2022</w:t>
      </w:r>
      <w:bookmarkStart w:id="1" w:name="_GoBack"/>
      <w:bookmarkEnd w:id="1"/>
      <w:r w:rsidRPr="00F81148">
        <w:rPr>
          <w:rFonts w:ascii="Liberation Serif" w:hAnsi="Liberation Serif" w:cs="Liberation Serif"/>
          <w:sz w:val="24"/>
          <w:szCs w:val="24"/>
        </w:rPr>
        <w:t xml:space="preserve"> учебном году особое внимание было уделено вопросам функционирования муниципальной системы оценки качества образования.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В связи с эпидемиологической обстановкой все заседания РМО проходили в режиме онлайн.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Главные вопросы, которые обсуждались на районных методических объединениях, касались обновления образования, требований к современному уроку в условиях введения ФГОС СОО, ФГОС ОВЗ, нормативно – правового обеспечения реализации ФГОС, </w:t>
      </w:r>
      <w:r w:rsidRPr="00F81148">
        <w:rPr>
          <w:rFonts w:ascii="Liberation Serif" w:hAnsi="Liberation Serif" w:cs="Liberation Serif"/>
          <w:sz w:val="24"/>
          <w:szCs w:val="24"/>
        </w:rPr>
        <w:lastRenderedPageBreak/>
        <w:t>профессионального стандарта «Педагог», современных образовательных технологий как средства повышения качества образования.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На заседаниях РМО в течение учебного года более 130 педагогов представили опыт работы, доклады, презентации, открытые уроки, мастер-классы.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Были рассмотрены наиболее актуальные вопросы: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на заседаниях РМО учителей-предметников: совершенствование образовательных и рабочих программ, ВПР как инструмент оценки качества образования, уровня достижения планируемых образовательных результатов; использование результатов независимых оценочных процедур для корректировки рабочей программы педагога; 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критериальное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оценивание на дистанционном обучении; формирование и оценка функциональной грамотности обучающихся; итоги Всероссийской олимпиады школьников; вопросы ОГЭ, ЕГЭ, ГИА.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- в дошкольном образовании: взаимодействие с родителями, создание 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здоровьесберегающей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и предметно-пространственной среды в ДОУ в соответствии с ФГОС ДО, инновационные формы работы в ДОУ, проектирование программ воспитания, формирование инженерного мышления у дошкольников.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- на РМО учителей-логопедов, социальных педагогов, педагогов-психологов: использование интерактивного оборудования в развитии речи детей; социально-педагогическое сопровождение подростков, состоящих на профилактических учетах; психологическое сопровождение учащихся 9,11 классов по предупреждению эмоционального неблагополучия в период подготовки и сдачи ГИА.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Совершенствование методической работы РМО обеспечивалась различными формами работы методических объединений. Можно отметить наиболее эффективные формы проведения.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С целью развития творческого потенциала педагогов, повышения интереса к поиску новых эффективных форм и способов педагогической деятельности на РМО учителей иностранных языков (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Пестрякова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И.В.) проведена ярмарка педагогических идей, которая явилась итогом работы РМО за учебный год, педагоги делились своими идеями и находками в преподавании иностранных языков.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Организация обсуждения вопросов проектирования современного урока на основе системно-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деятельностного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подхода в обучении, проектная и исследовательская деятельность учащихся на уроках, выявление противоречий, сравнение разных точек зрения и выбор приемлемых для всех участников позиций и решений в форме круглого стола проведено на РМО учителей информатики (рук. Палкина С.Г.); истории и обществознания (рук. 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Шестовских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М.Г.), преподавателей-организаторов ОБЖ (рук. Тихонов Е.Г.)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Вопрос комплексного подхода к деятельности по подготовке учащихся к ЕГЭ в форме коллективного обсуждения онлайн-консультаций был проведен на заседании РМО учителей математики (</w:t>
      </w:r>
      <w:proofErr w:type="spellStart"/>
      <w:r w:rsidRPr="00F81148">
        <w:rPr>
          <w:rFonts w:ascii="Liberation Serif" w:hAnsi="Liberation Serif" w:cs="Liberation Serif"/>
          <w:sz w:val="24"/>
          <w:szCs w:val="24"/>
        </w:rPr>
        <w:t>Лачимова</w:t>
      </w:r>
      <w:proofErr w:type="spellEnd"/>
      <w:r w:rsidRPr="00F81148">
        <w:rPr>
          <w:rFonts w:ascii="Liberation Serif" w:hAnsi="Liberation Serif" w:cs="Liberation Serif"/>
          <w:sz w:val="24"/>
          <w:szCs w:val="24"/>
        </w:rPr>
        <w:t xml:space="preserve"> Л.В.).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Инновационный опыт работы на тему «Цифровые ресурсы как инструмент повышения качества общего образования» был представлен в рамках открытого урока по химии в 10 классе с применением графического планшета учителем химии Панаевой С.Ю.   на РМО учителей химии, биологии (рук. Кузнецова Т.В.).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С целью создания условий для профессионального и личностного развития педагога средствами организованной коммуникации, формирования индивидуального стиля творческой педагогической деятельности проведены мастер-классы на заседаниях РМО:  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lastRenderedPageBreak/>
        <w:t>учителей технологии - «Демонстрация возможностей дистанционного преподавания образовательной программы при помощи рабочей платформы «ZOOM» представил Хомутов Н.Е., учитель МАОУСОШ №3;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учителей физики - «Возможности использования компьютерных технологий при проведении лабораторных работ в период организации ДО» представила Коркина Е.Н., учитель МАОУ СОШ №1.</w:t>
      </w:r>
    </w:p>
    <w:p w:rsidR="00F81148" w:rsidRP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 xml:space="preserve"> На итоговом заседании РМО учителей русского языка и литературы (рук. Самухина Е.Ю.)  проведено обобщение эффективного педагогического опыта в форме «открытый микрофон».</w:t>
      </w:r>
    </w:p>
    <w:p w:rsidR="00F81148" w:rsidRDefault="00F81148" w:rsidP="00F8114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F81148">
        <w:rPr>
          <w:rFonts w:ascii="Liberation Serif" w:hAnsi="Liberation Serif" w:cs="Liberation Serif"/>
          <w:sz w:val="24"/>
          <w:szCs w:val="24"/>
        </w:rPr>
        <w:t>Практически на всех заседаниях педагоги делились опытом используемых образовательных платформ для организации успешной дистанционной работы с обучающимися.</w:t>
      </w:r>
    </w:p>
    <w:p w:rsidR="00981C29" w:rsidRPr="00981C29" w:rsidRDefault="00981C29" w:rsidP="00981C2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81C29">
        <w:rPr>
          <w:rFonts w:ascii="Liberation Serif" w:hAnsi="Liberation Serif" w:cs="Liberation Serif"/>
          <w:sz w:val="24"/>
          <w:szCs w:val="24"/>
        </w:rPr>
        <w:t>На заседаниях РМО были проанализированы итоги участия обучающихся района во Всероссийской олимпиаде школьников на муниципальном и региональном уровнях; педагоги активно участвовали в экспертной деятельности при проведении ВПР, ДКР, ОГЭ, ЕГЭ; в подготовке учащихся к научно-практической конференции.</w:t>
      </w:r>
    </w:p>
    <w:p w:rsidR="00981C29" w:rsidRDefault="00981C29" w:rsidP="00981C2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981C29">
        <w:rPr>
          <w:rFonts w:ascii="Liberation Serif" w:hAnsi="Liberation Serif" w:cs="Liberation Serif"/>
          <w:sz w:val="24"/>
          <w:szCs w:val="24"/>
        </w:rPr>
        <w:t xml:space="preserve">Наиболее актуальным на заседаниях РМО был вопрос о </w:t>
      </w:r>
      <w:proofErr w:type="spellStart"/>
      <w:r w:rsidRPr="00981C29">
        <w:rPr>
          <w:rFonts w:ascii="Liberation Serif" w:hAnsi="Liberation Serif" w:cs="Liberation Serif"/>
          <w:sz w:val="24"/>
          <w:szCs w:val="24"/>
        </w:rPr>
        <w:t>критериальном</w:t>
      </w:r>
      <w:proofErr w:type="spellEnd"/>
      <w:r w:rsidRPr="00981C29">
        <w:rPr>
          <w:rFonts w:ascii="Liberation Serif" w:hAnsi="Liberation Serif" w:cs="Liberation Serif"/>
          <w:sz w:val="24"/>
          <w:szCs w:val="24"/>
        </w:rPr>
        <w:t xml:space="preserve"> оценивании достижений учащихся. Данный вопрос на высоком профессиональном уровне был представлен на РМО учителей начальных классов </w:t>
      </w:r>
      <w:proofErr w:type="spellStart"/>
      <w:r w:rsidRPr="00981C29">
        <w:rPr>
          <w:rFonts w:ascii="Liberation Serif" w:hAnsi="Liberation Serif" w:cs="Liberation Serif"/>
          <w:sz w:val="24"/>
          <w:szCs w:val="24"/>
        </w:rPr>
        <w:t>Кузевановой</w:t>
      </w:r>
      <w:proofErr w:type="spellEnd"/>
      <w:r w:rsidRPr="00981C29">
        <w:rPr>
          <w:rFonts w:ascii="Liberation Serif" w:hAnsi="Liberation Serif" w:cs="Liberation Serif"/>
          <w:sz w:val="24"/>
          <w:szCs w:val="24"/>
        </w:rPr>
        <w:t xml:space="preserve"> Н.Ф., директором МАОУ </w:t>
      </w:r>
      <w:proofErr w:type="spellStart"/>
      <w:r w:rsidRPr="00981C29">
        <w:rPr>
          <w:rFonts w:ascii="Liberation Serif" w:hAnsi="Liberation Serif" w:cs="Liberation Serif"/>
          <w:sz w:val="24"/>
          <w:szCs w:val="24"/>
        </w:rPr>
        <w:t>Городищенской</w:t>
      </w:r>
      <w:proofErr w:type="spellEnd"/>
      <w:r w:rsidRPr="00981C29">
        <w:rPr>
          <w:rFonts w:ascii="Liberation Serif" w:hAnsi="Liberation Serif" w:cs="Liberation Serif"/>
          <w:sz w:val="24"/>
          <w:szCs w:val="24"/>
        </w:rPr>
        <w:t xml:space="preserve"> СОШ. Вниманию педагогов была представлена из личного педагогического опыта </w:t>
      </w:r>
      <w:proofErr w:type="spellStart"/>
      <w:r w:rsidRPr="00981C29">
        <w:rPr>
          <w:rFonts w:ascii="Liberation Serif" w:hAnsi="Liberation Serif" w:cs="Liberation Serif"/>
          <w:sz w:val="24"/>
          <w:szCs w:val="24"/>
        </w:rPr>
        <w:t>критериальная</w:t>
      </w:r>
      <w:proofErr w:type="spellEnd"/>
      <w:r w:rsidRPr="00981C29">
        <w:rPr>
          <w:rFonts w:ascii="Liberation Serif" w:hAnsi="Liberation Serif" w:cs="Liberation Serif"/>
          <w:sz w:val="24"/>
          <w:szCs w:val="24"/>
        </w:rPr>
        <w:t xml:space="preserve"> модель оценивания, статистические методы оценивания и характеристики формирующего оценивания по М.А. </w:t>
      </w:r>
      <w:proofErr w:type="spellStart"/>
      <w:r w:rsidRPr="00981C29">
        <w:rPr>
          <w:rFonts w:ascii="Liberation Serif" w:hAnsi="Liberation Serif" w:cs="Liberation Serif"/>
          <w:sz w:val="24"/>
          <w:szCs w:val="24"/>
        </w:rPr>
        <w:t>Пинской</w:t>
      </w:r>
      <w:proofErr w:type="spellEnd"/>
      <w:r w:rsidRPr="00981C29">
        <w:rPr>
          <w:rFonts w:ascii="Liberation Serif" w:hAnsi="Liberation Serif" w:cs="Liberation Serif"/>
          <w:sz w:val="24"/>
          <w:szCs w:val="24"/>
        </w:rPr>
        <w:t>.</w:t>
      </w:r>
    </w:p>
    <w:p w:rsidR="00ED5EA5" w:rsidRPr="00ED5EA5" w:rsidRDefault="00ED5EA5" w:rsidP="00ED5EA5">
      <w:pPr>
        <w:spacing w:after="0" w:line="259" w:lineRule="auto"/>
        <w:ind w:firstLine="708"/>
        <w:jc w:val="center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ED5EA5">
        <w:rPr>
          <w:rFonts w:ascii="Liberation Serif" w:eastAsia="Calibri" w:hAnsi="Liberation Serif" w:cs="Liberation Serif"/>
          <w:b/>
          <w:bCs/>
          <w:sz w:val="24"/>
          <w:szCs w:val="24"/>
        </w:rPr>
        <w:t>По итогам анализа выявлены положительные тенденции</w:t>
      </w:r>
      <w:r w:rsidRPr="00ED5EA5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ED5EA5">
        <w:rPr>
          <w:rFonts w:ascii="Liberation Serif" w:eastAsia="Calibri" w:hAnsi="Liberation Serif" w:cs="Liberation Serif"/>
          <w:b/>
          <w:bCs/>
          <w:sz w:val="24"/>
          <w:szCs w:val="24"/>
        </w:rPr>
        <w:t>деятельности РМО: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- повышение уровня педагогического мастерства педагогов в области преподаваемого предмета;  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 обеспечение возможности обменяться мнениями и опытом по приоритетным и проблемным вопросам образования, получить методическую поддержку;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создание условий для личностного роста и развития педагогов (создание среды единомышленников, предоставление возможностей творческого самовыражения);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изучение нормативных документов и </w:t>
      </w:r>
      <w:hyperlink r:id="rId5" w:tooltip="Методические рекомендации" w:history="1">
        <w:r w:rsidRPr="00ED5EA5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методических рекомендаций</w:t>
        </w:r>
      </w:hyperlink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федерального, регионального и муниципального уровней по вопросам образования и преподавания предмета;  </w:t>
      </w:r>
    </w:p>
    <w:p w:rsidR="00ED5EA5" w:rsidRPr="00ED5EA5" w:rsidRDefault="00ED5EA5" w:rsidP="00ED5EA5">
      <w:pPr>
        <w:shd w:val="clear" w:color="auto" w:fill="FFFFFF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анализ результатов государственной итоговой аттестации и ЕГЭ;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деятельности;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оперативное реагирование на запросы педагогов по насущным образовательным проблемам;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выработка единых подходов, критериев, норм и требований к оценке результатов образовательной деятельности обучающихся и педагогов;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-знакомство с новинками педагогической, психологической, методической</w:t>
      </w:r>
      <w:r w:rsidRPr="00ED5EA5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6" w:tooltip="Художественная литература" w:history="1">
        <w:r w:rsidRPr="00ED5EA5">
          <w:rPr>
            <w:rFonts w:ascii="Liberation Serif" w:eastAsia="Times New Roman" w:hAnsi="Liberation Serif" w:cs="Liberation Serif"/>
            <w:sz w:val="24"/>
            <w:szCs w:val="24"/>
            <w:bdr w:val="none" w:sz="0" w:space="0" w:color="auto" w:frame="1"/>
            <w:lang w:eastAsia="ru-RU"/>
          </w:rPr>
          <w:t>художественной литературы</w:t>
        </w:r>
      </w:hyperlink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с периодическими изданиями;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обсуждение и утверждение материалов для промежуточной и итоговой аттестации обучающихся;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обсуждение материалов для проведения предметных недель, школьных олимпиад, конкурсов;</w:t>
      </w:r>
    </w:p>
    <w:p w:rsidR="00ED5EA5" w:rsidRPr="00ED5EA5" w:rsidRDefault="00ED5EA5" w:rsidP="00ED5EA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ED5EA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 выявление, обобщение эффективного педагогического опыта и внедрение его в практику работы.</w:t>
      </w:r>
    </w:p>
    <w:p w:rsidR="00ED5EA5" w:rsidRPr="00F81148" w:rsidRDefault="00ED5EA5" w:rsidP="00981C29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sectPr w:rsidR="00ED5EA5" w:rsidRPr="00F8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EBC"/>
    <w:multiLevelType w:val="hybridMultilevel"/>
    <w:tmpl w:val="E51AABD0"/>
    <w:lvl w:ilvl="0" w:tplc="C37CE3AA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F6B21AA"/>
    <w:multiLevelType w:val="multilevel"/>
    <w:tmpl w:val="45322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48"/>
    <w:rsid w:val="00136B58"/>
    <w:rsid w:val="00492EBF"/>
    <w:rsid w:val="00517448"/>
    <w:rsid w:val="00841494"/>
    <w:rsid w:val="008927F0"/>
    <w:rsid w:val="00981C29"/>
    <w:rsid w:val="00B90F0B"/>
    <w:rsid w:val="00BB30BF"/>
    <w:rsid w:val="00CC56A2"/>
    <w:rsid w:val="00DC69A7"/>
    <w:rsid w:val="00DE10F9"/>
    <w:rsid w:val="00E358F4"/>
    <w:rsid w:val="00E96D7D"/>
    <w:rsid w:val="00ED5EA5"/>
    <w:rsid w:val="00F8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DC63-342F-4222-B288-0413655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6A2"/>
    <w:pPr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6">
    <w:name w:val="Основной текст (6)"/>
    <w:basedOn w:val="a0"/>
    <w:rsid w:val="00CC5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C56A2"/>
    <w:rPr>
      <w:rFonts w:ascii="Times New Roman" w:eastAsia="Times New Roman" w:hAnsi="Times New Roman"/>
      <w:shd w:val="clear" w:color="auto" w:fill="FFFFFF"/>
    </w:rPr>
  </w:style>
  <w:style w:type="character" w:customStyle="1" w:styleId="275pt">
    <w:name w:val="Основной текст (2) + 7;5 pt"/>
    <w:basedOn w:val="2"/>
    <w:rsid w:val="00CC56A2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CC56A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56A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E3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927F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hudozhestvennaya_literatura/" TargetMode="External"/><Relationship Id="rId5" Type="http://schemas.openxmlformats.org/officeDocument/2006/relationships/hyperlink" Target="https://pandia.ru/text/category/metodicheskie_rekomend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2022-07-08T08:40:00Z</dcterms:created>
  <dcterms:modified xsi:type="dcterms:W3CDTF">2023-07-04T04:25:00Z</dcterms:modified>
</cp:coreProperties>
</file>